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2016年度霸州市城乡规划局部门决算信息公开情况</w:t>
      </w:r>
    </w:p>
    <w:p>
      <w:pPr>
        <w:widowControl/>
        <w:spacing w:line="520" w:lineRule="exact"/>
        <w:jc w:val="center"/>
        <w:rPr>
          <w:rFonts w:ascii="仿宋_GB2312" w:hAnsi="仿宋" w:eastAsia="仿宋_GB2312"/>
          <w:color w:val="FF0000"/>
          <w:sz w:val="36"/>
          <w:szCs w:val="36"/>
        </w:rPr>
      </w:pPr>
    </w:p>
    <w:p>
      <w:pPr>
        <w:widowControl/>
        <w:spacing w:line="520" w:lineRule="exact"/>
        <w:ind w:firstLine="640" w:firstLineChars="200"/>
        <w:jc w:val="left"/>
        <w:rPr>
          <w:rFonts w:ascii="仿宋" w:hAnsi="仿宋" w:eastAsia="仿宋"/>
          <w:sz w:val="32"/>
          <w:szCs w:val="32"/>
        </w:rPr>
      </w:pPr>
      <w:r>
        <w:rPr>
          <w:rFonts w:hint="eastAsia" w:ascii="仿宋" w:hAnsi="仿宋" w:eastAsia="仿宋"/>
          <w:sz w:val="32"/>
          <w:szCs w:val="32"/>
        </w:rPr>
        <w:t>按照《预算法》、《河北省财政厅关于印发&lt;河北省预决算公开操作规程实施细则&gt;的通知》（冀财预</w:t>
      </w:r>
      <w:r>
        <w:rPr>
          <w:rFonts w:hint="eastAsia" w:ascii="仿宋" w:hAnsi="仿宋" w:eastAsia="仿宋" w:cs="宋体"/>
          <w:sz w:val="32"/>
          <w:szCs w:val="32"/>
        </w:rPr>
        <w:t>﹝</w:t>
      </w:r>
      <w:r>
        <w:rPr>
          <w:rFonts w:hint="eastAsia" w:ascii="仿宋" w:hAnsi="仿宋" w:eastAsia="仿宋"/>
          <w:sz w:val="32"/>
          <w:szCs w:val="32"/>
        </w:rPr>
        <w:t>2016</w:t>
      </w:r>
      <w:r>
        <w:rPr>
          <w:rFonts w:hint="eastAsia" w:ascii="仿宋" w:hAnsi="仿宋" w:eastAsia="仿宋" w:cs="宋体"/>
          <w:sz w:val="32"/>
          <w:szCs w:val="32"/>
        </w:rPr>
        <w:t>﹞</w:t>
      </w:r>
      <w:r>
        <w:rPr>
          <w:rFonts w:hint="eastAsia" w:ascii="仿宋" w:hAnsi="仿宋" w:eastAsia="仿宋"/>
          <w:sz w:val="32"/>
          <w:szCs w:val="32"/>
        </w:rPr>
        <w:t>129号）等规定，现将2016年部门决算公开如下：</w:t>
      </w:r>
    </w:p>
    <w:p>
      <w:pPr>
        <w:widowControl/>
        <w:numPr>
          <w:ilvl w:val="0"/>
          <w:numId w:val="1"/>
        </w:numPr>
        <w:spacing w:line="520" w:lineRule="exact"/>
        <w:ind w:firstLine="640" w:firstLineChars="200"/>
        <w:jc w:val="left"/>
        <w:rPr>
          <w:rFonts w:ascii="黑体" w:hAnsi="黑体" w:eastAsia="黑体"/>
          <w:sz w:val="32"/>
          <w:szCs w:val="32"/>
        </w:rPr>
      </w:pPr>
      <w:r>
        <w:rPr>
          <w:rFonts w:hint="eastAsia" w:ascii="黑体" w:hAnsi="黑体" w:eastAsia="黑体"/>
          <w:sz w:val="32"/>
          <w:szCs w:val="32"/>
        </w:rPr>
        <w:t>部门职责及机构设置情况</w:t>
      </w:r>
    </w:p>
    <w:p>
      <w:pPr>
        <w:widowControl/>
        <w:spacing w:line="520" w:lineRule="exact"/>
        <w:ind w:firstLine="643" w:firstLineChars="200"/>
        <w:jc w:val="left"/>
        <w:rPr>
          <w:rFonts w:ascii="楷体" w:hAnsi="楷体" w:eastAsia="楷体" w:cs="黑体"/>
          <w:b/>
          <w:sz w:val="32"/>
          <w:szCs w:val="32"/>
        </w:rPr>
      </w:pPr>
      <w:r>
        <w:rPr>
          <w:rFonts w:hint="eastAsia" w:ascii="楷体" w:hAnsi="楷体" w:eastAsia="楷体" w:cs="黑体"/>
          <w:b/>
          <w:sz w:val="32"/>
          <w:szCs w:val="32"/>
        </w:rPr>
        <w:t>部门职责：</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1、贯彻执行国家、省和市关于城乡规划的法律、法规、规章和政策，拟定全市城乡规划的规范性文件。</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2、组织编制城市总体规划、分区规划、详细规划和城市设计；组织协调有关部门编制各项专业规划；指导编制和审查各乡镇村街体系规划、总体建设规划和新农村建设规划。</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3、参与全市国土资源利用总体规划和重大建设项目的前期论证。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4、负责所组织编制城乡规划和拟实施重要建设项目规划方案的公示、收集、整理并采纳群众的合理化建议和意见。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负责城市规划区内的建设项目的规划选址，核发《建设项目选址意见书》；负责城市规划区内各类建设项目的用地规划审查、审批，核发《建设用地规划许可证》或《临时建设用地规划许可证》；负责各类建设项目的规划方案审批的受理、报批工作，核发《建设工程规划许可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6、负责城市规划区内已经规划审批项目的放线、验线、验槽、竣工后规划验收工作，核发《建设工程规划验收合格证》。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7、负责历史文化名城、名镇、名村，历史风貌保护区、优秀历史建筑和历史文物古迹保护的规划管理工作。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8、负责市域内集镇、村庄建设的规划管理工作；负责规划区经济技术开发区和其他各类园区的统一规划管理。</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9、负责城乡规划编制行业资质和技术服务市场的管理工作。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10、负责组织开展城乡规划重大问题的研究工作。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11、负责征收各类建设项目的城市基础设施配套费。</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12、负责组织开展本行业人才队伍建设，法律、法规宣称和业务知识以及继续教育工作。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13、承办市委市政府和上级主管部门交办的其他工作。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根据上述职责，霸州市城乡规划局设个内设7个机构，包括综合办公室，建设用地管理股，建设工程管理股，城乡规划股，市政规划股，工程监察股，法规宣教股。 </w:t>
      </w:r>
    </w:p>
    <w:p>
      <w:pPr>
        <w:widowControl/>
        <w:spacing w:line="520" w:lineRule="exact"/>
        <w:ind w:firstLine="643" w:firstLineChars="200"/>
        <w:jc w:val="left"/>
        <w:rPr>
          <w:rFonts w:ascii="楷体" w:hAnsi="楷体" w:eastAsia="楷体" w:cs="黑体"/>
          <w:b/>
          <w:sz w:val="32"/>
          <w:szCs w:val="32"/>
        </w:rPr>
      </w:pPr>
      <w:r>
        <w:rPr>
          <w:rFonts w:hint="eastAsia" w:ascii="楷体" w:hAnsi="楷体" w:eastAsia="楷体" w:cs="黑体"/>
          <w:b/>
          <w:sz w:val="32"/>
          <w:szCs w:val="32"/>
        </w:rPr>
        <w:t>机构设置：</w:t>
      </w:r>
    </w:p>
    <w:p>
      <w:pPr>
        <w:jc w:val="center"/>
        <w:outlineLvl w:val="0"/>
        <w:rPr>
          <w:rFonts w:eastAsia="方正小标宋_GBK"/>
          <w:sz w:val="32"/>
        </w:rPr>
      </w:pPr>
    </w:p>
    <w:p>
      <w:pPr>
        <w:jc w:val="center"/>
        <w:outlineLvl w:val="0"/>
        <w:rPr>
          <w:rFonts w:eastAsia="方正小标宋_GBK"/>
          <w:sz w:val="32"/>
        </w:rPr>
      </w:pPr>
      <w:r>
        <w:rPr>
          <w:rFonts w:eastAsia="方正小标宋_GBK"/>
          <w:sz w:val="32"/>
        </w:rPr>
        <w:t>部门</w:t>
      </w:r>
      <w:r>
        <w:rPr>
          <w:rFonts w:hint="eastAsia" w:eastAsia="方正小标宋_GBK"/>
          <w:sz w:val="32"/>
        </w:rPr>
        <w:t>机构设置情况</w:t>
      </w:r>
    </w:p>
    <w:tbl>
      <w:tblPr>
        <w:tblStyle w:val="5"/>
        <w:tblW w:w="9624" w:type="dxa"/>
        <w:jc w:val="center"/>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265"/>
        <w:gridCol w:w="2265"/>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2265"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265"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275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霸州市城乡规划局</w:t>
            </w:r>
          </w:p>
        </w:tc>
        <w:tc>
          <w:tcPr>
            <w:tcW w:w="226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全额事业</w:t>
            </w:r>
          </w:p>
        </w:tc>
        <w:tc>
          <w:tcPr>
            <w:tcW w:w="226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正科级</w:t>
            </w:r>
          </w:p>
        </w:tc>
        <w:tc>
          <w:tcPr>
            <w:tcW w:w="2754"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snapToGrid w:val="0"/>
        <w:spacing w:line="520" w:lineRule="exact"/>
        <w:rPr>
          <w:rFonts w:eastAsia="黑体"/>
          <w:sz w:val="28"/>
          <w:szCs w:val="28"/>
        </w:rPr>
      </w:pPr>
    </w:p>
    <w:p>
      <w:pPr>
        <w:ind w:firstLine="64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部门决算报表（附表）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收入支出决算总表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收入决算表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支出决算表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财政拨款收入支出决算总表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一般公共预算财政拨款支出决算表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一般公共预算财政拨款基本支出决算表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0"/>
          <w:lang w:eastAsia="zh-CN"/>
        </w:rPr>
        <w:t>（八）</w:t>
      </w:r>
      <w:r>
        <w:rPr>
          <w:rFonts w:hint="eastAsia" w:ascii="仿宋" w:hAnsi="仿宋" w:eastAsia="仿宋"/>
          <w:sz w:val="32"/>
          <w:szCs w:val="30"/>
        </w:rPr>
        <w:t>国有资本经营预算财政拨款支出决算表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“三公”经费及相关信息统计表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政府采购情况表</w:t>
      </w:r>
    </w:p>
    <w:p>
      <w:pPr>
        <w:ind w:firstLine="64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2016年度部门决算情况说明</w:t>
      </w:r>
    </w:p>
    <w:p>
      <w:pPr>
        <w:snapToGrid w:val="0"/>
        <w:spacing w:line="520" w:lineRule="exact"/>
        <w:ind w:firstLine="640"/>
        <w:rPr>
          <w:rFonts w:ascii="楷体" w:hAnsi="楷体" w:eastAsia="楷体"/>
          <w:b/>
          <w:sz w:val="32"/>
          <w:szCs w:val="32"/>
        </w:rPr>
      </w:pPr>
      <w:r>
        <w:rPr>
          <w:rFonts w:hint="eastAsia" w:ascii="楷体" w:hAnsi="楷体" w:eastAsia="楷体"/>
          <w:b/>
          <w:sz w:val="32"/>
          <w:szCs w:val="32"/>
        </w:rPr>
        <w:t>（一）收入支出决算总体情况说明</w:t>
      </w:r>
    </w:p>
    <w:p>
      <w:pPr>
        <w:snapToGrid w:val="0"/>
        <w:spacing w:line="520" w:lineRule="exact"/>
        <w:ind w:firstLine="640" w:firstLineChars="200"/>
        <w:rPr>
          <w:rFonts w:ascii="楷体" w:hAnsi="楷体" w:eastAsia="楷体"/>
          <w:b/>
          <w:sz w:val="32"/>
          <w:szCs w:val="32"/>
        </w:rPr>
      </w:pPr>
      <w:r>
        <w:rPr>
          <w:rFonts w:ascii="仿宋" w:hAnsi="仿宋" w:eastAsia="仿宋"/>
          <w:sz w:val="32"/>
          <w:szCs w:val="32"/>
        </w:rPr>
        <w:t>反映本部门</w:t>
      </w:r>
      <w:r>
        <w:rPr>
          <w:rFonts w:hint="eastAsia" w:ascii="仿宋" w:hAnsi="仿宋" w:eastAsia="仿宋"/>
          <w:sz w:val="32"/>
          <w:szCs w:val="32"/>
        </w:rPr>
        <w:t>综合收支情况。2016年度决算收入总计 1252.75万元，决算支出总计1345.04万元。年初结转和结余 144.12万元；年末结转和结余51.83万元。</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（二）收入决算情况说明</w:t>
      </w:r>
    </w:p>
    <w:p>
      <w:pPr>
        <w:ind w:firstLine="640" w:firstLineChars="200"/>
        <w:rPr>
          <w:rFonts w:ascii="仿宋" w:hAnsi="仿宋" w:eastAsia="仿宋" w:cs="仿宋"/>
          <w:sz w:val="32"/>
          <w:szCs w:val="32"/>
        </w:rPr>
      </w:pPr>
      <w:r>
        <w:rPr>
          <w:rFonts w:ascii="仿宋" w:hAnsi="仿宋" w:eastAsia="仿宋" w:cs="仿宋"/>
          <w:sz w:val="32"/>
          <w:szCs w:val="32"/>
        </w:rPr>
        <w:t>反映本部门当年</w:t>
      </w:r>
      <w:r>
        <w:rPr>
          <w:rFonts w:hint="eastAsia" w:ascii="仿宋" w:hAnsi="仿宋" w:eastAsia="仿宋" w:cs="仿宋"/>
          <w:sz w:val="32"/>
          <w:szCs w:val="32"/>
        </w:rPr>
        <w:t>总体收入情况</w:t>
      </w:r>
      <w:r>
        <w:rPr>
          <w:rFonts w:ascii="仿宋" w:hAnsi="仿宋" w:eastAsia="仿宋" w:cs="仿宋"/>
          <w:sz w:val="32"/>
          <w:szCs w:val="32"/>
        </w:rPr>
        <w:t>。</w:t>
      </w:r>
      <w:r>
        <w:rPr>
          <w:rFonts w:hint="eastAsia" w:ascii="仿宋" w:hAnsi="仿宋" w:eastAsia="仿宋" w:cs="仿宋"/>
          <w:sz w:val="32"/>
          <w:szCs w:val="32"/>
        </w:rPr>
        <w:t>2016年度收入1252.75万元，其中：一般公共预算收入432.75万元，政府性基金预算收入820万元。</w:t>
      </w:r>
    </w:p>
    <w:p>
      <w:pPr>
        <w:ind w:firstLine="643" w:firstLineChars="200"/>
        <w:rPr>
          <w:rFonts w:ascii="楷体" w:hAnsi="楷体" w:eastAsia="楷体"/>
          <w:b/>
          <w:sz w:val="32"/>
          <w:szCs w:val="32"/>
        </w:rPr>
      </w:pPr>
      <w:r>
        <w:rPr>
          <w:rFonts w:hint="eastAsia" w:ascii="楷体" w:hAnsi="楷体" w:eastAsia="楷体"/>
          <w:b/>
          <w:sz w:val="32"/>
          <w:szCs w:val="32"/>
        </w:rPr>
        <w:t>（三）支出决算情况说明</w:t>
      </w:r>
    </w:p>
    <w:p>
      <w:pPr>
        <w:ind w:firstLine="640" w:firstLineChars="200"/>
        <w:rPr>
          <w:rFonts w:ascii="仿宋" w:hAnsi="仿宋" w:eastAsia="仿宋" w:cs="仿宋"/>
          <w:sz w:val="32"/>
          <w:szCs w:val="32"/>
        </w:rPr>
      </w:pPr>
      <w:r>
        <w:rPr>
          <w:rFonts w:ascii="仿宋" w:hAnsi="仿宋" w:eastAsia="仿宋" w:cs="仿宋"/>
          <w:sz w:val="32"/>
          <w:szCs w:val="32"/>
        </w:rPr>
        <w:t>反映本部门当年</w:t>
      </w:r>
      <w:r>
        <w:rPr>
          <w:rFonts w:hint="eastAsia" w:ascii="仿宋" w:hAnsi="仿宋" w:eastAsia="仿宋" w:cs="仿宋"/>
          <w:sz w:val="32"/>
          <w:szCs w:val="32"/>
        </w:rPr>
        <w:t>总体支出情况</w:t>
      </w:r>
      <w:r>
        <w:rPr>
          <w:rFonts w:ascii="仿宋" w:hAnsi="仿宋" w:eastAsia="仿宋" w:cs="仿宋"/>
          <w:sz w:val="32"/>
          <w:szCs w:val="32"/>
        </w:rPr>
        <w:t>。</w:t>
      </w:r>
      <w:r>
        <w:rPr>
          <w:rFonts w:hint="eastAsia" w:ascii="仿宋" w:hAnsi="仿宋" w:eastAsia="仿宋" w:cs="仿宋"/>
          <w:sz w:val="32"/>
          <w:szCs w:val="32"/>
        </w:rPr>
        <w:t>2016年度支出1345.04万元，其中：基本支出420.28万元，项目支出924.76万元。</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（四）财政拨款收入支出决算总体情况说明</w:t>
      </w:r>
    </w:p>
    <w:p>
      <w:pPr>
        <w:ind w:firstLine="640" w:firstLineChars="200"/>
        <w:rPr>
          <w:rFonts w:ascii="仿宋" w:hAnsi="仿宋" w:eastAsia="仿宋" w:cs="仿宋"/>
          <w:sz w:val="32"/>
          <w:szCs w:val="32"/>
        </w:rPr>
      </w:pPr>
      <w:r>
        <w:rPr>
          <w:rFonts w:ascii="仿宋" w:hAnsi="仿宋" w:eastAsia="仿宋"/>
          <w:sz w:val="32"/>
          <w:szCs w:val="32"/>
        </w:rPr>
        <w:t>反映本部门</w:t>
      </w:r>
      <w:r>
        <w:rPr>
          <w:rFonts w:hint="eastAsia" w:ascii="仿宋" w:hAnsi="仿宋" w:eastAsia="仿宋"/>
          <w:sz w:val="32"/>
          <w:szCs w:val="32"/>
        </w:rPr>
        <w:t>财政拨款收支情况。 2016 年度财政拨款收入决算总计1252.75万元，</w:t>
      </w:r>
      <w:r>
        <w:rPr>
          <w:rFonts w:hint="eastAsia" w:ascii="仿宋" w:hAnsi="仿宋" w:eastAsia="仿宋" w:cs="仿宋"/>
          <w:sz w:val="32"/>
          <w:szCs w:val="32"/>
        </w:rPr>
        <w:t>其中：一般公共预算收入432.75万元，政府性基金预算收入820万元。</w:t>
      </w:r>
      <w:r>
        <w:rPr>
          <w:rFonts w:hint="eastAsia" w:ascii="仿宋" w:hAnsi="仿宋" w:eastAsia="仿宋"/>
          <w:sz w:val="32"/>
          <w:szCs w:val="32"/>
        </w:rPr>
        <w:t>财政拨款决算支出总计 1345.04万元,</w:t>
      </w:r>
      <w:r>
        <w:rPr>
          <w:rFonts w:hint="eastAsia" w:ascii="仿宋" w:hAnsi="仿宋" w:eastAsia="仿宋" w:cs="仿宋"/>
          <w:sz w:val="32"/>
          <w:szCs w:val="32"/>
        </w:rPr>
        <w:t xml:space="preserve"> 其中：基本支出420.28万元，项目支出924.76万元。</w:t>
      </w:r>
      <w:r>
        <w:rPr>
          <w:rFonts w:hint="eastAsia" w:ascii="仿宋" w:hAnsi="仿宋" w:eastAsia="仿宋"/>
          <w:sz w:val="32"/>
          <w:szCs w:val="32"/>
        </w:rPr>
        <w:t>决算收入总计中，年初结转和结余144.12万元；决算支出总计中，年末结转和结余51.83万元。</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（五）“三公”经费情况及增减变化原因</w:t>
      </w:r>
    </w:p>
    <w:p>
      <w:pPr>
        <w:widowControl/>
        <w:spacing w:line="520" w:lineRule="exact"/>
        <w:ind w:firstLine="640" w:firstLineChars="200"/>
        <w:jc w:val="left"/>
        <w:rPr>
          <w:rFonts w:ascii="仿宋" w:hAnsi="仿宋" w:eastAsia="仿宋"/>
          <w:sz w:val="32"/>
          <w:szCs w:val="32"/>
        </w:rPr>
      </w:pPr>
      <w:r>
        <w:rPr>
          <w:rFonts w:hint="eastAsia" w:ascii="仿宋" w:hAnsi="仿宋" w:eastAsia="仿宋"/>
          <w:sz w:val="32"/>
          <w:szCs w:val="32"/>
        </w:rPr>
        <w:t>2016年度部门“三公”经费支出 5.59  万元，比预算</w:t>
      </w:r>
      <w:r>
        <w:rPr>
          <w:rFonts w:ascii="仿宋" w:hAnsi="仿宋" w:eastAsia="仿宋"/>
          <w:sz w:val="32"/>
          <w:szCs w:val="32"/>
        </w:rPr>
        <w:t>增加</w:t>
      </w:r>
      <w:r>
        <w:rPr>
          <w:rFonts w:hint="eastAsia" w:ascii="仿宋" w:hAnsi="仿宋" w:eastAsia="仿宋"/>
          <w:sz w:val="32"/>
          <w:szCs w:val="32"/>
        </w:rPr>
        <w:t>1.3万元，比2015年度决算减少0.59万元。</w:t>
      </w:r>
    </w:p>
    <w:p>
      <w:pPr>
        <w:widowControl/>
        <w:spacing w:line="520" w:lineRule="exact"/>
        <w:ind w:firstLine="640" w:firstLineChars="200"/>
        <w:jc w:val="left"/>
        <w:rPr>
          <w:rFonts w:ascii="仿宋" w:hAnsi="仿宋" w:eastAsia="仿宋"/>
          <w:sz w:val="32"/>
          <w:szCs w:val="32"/>
        </w:rPr>
      </w:pPr>
      <w:r>
        <w:rPr>
          <w:rFonts w:hint="eastAsia" w:ascii="仿宋" w:hAnsi="仿宋" w:eastAsia="仿宋"/>
          <w:sz w:val="32"/>
          <w:szCs w:val="32"/>
        </w:rPr>
        <w:t>其中：因公出国（境）费0万元（本单位2016年度组织出国（境）团组0个，因公出国（境）人次数0人），与预算持平，与2015年度决算持平；公务用车购置及运行维护费5.59万元（公务用车购置数量0辆，购置金额0万元，公车运行维护费5.59万元，年末公务用车保有量1辆），与预算持平，比2015年度决算减少0.59万元，原因是</w:t>
      </w:r>
      <w:r>
        <w:rPr>
          <w:rFonts w:hint="eastAsia" w:ascii="仿宋" w:hAnsi="仿宋" w:eastAsia="仿宋" w:cs="仿宋"/>
          <w:sz w:val="32"/>
          <w:szCs w:val="32"/>
        </w:rPr>
        <w:t>我单位厉行节约，严控三公经费支出</w:t>
      </w:r>
      <w:r>
        <w:rPr>
          <w:rFonts w:hint="eastAsia" w:ascii="仿宋" w:hAnsi="仿宋" w:eastAsia="仿宋"/>
          <w:sz w:val="32"/>
          <w:szCs w:val="32"/>
        </w:rPr>
        <w:t>；公务接待费0万元（2016年度国内公务接待0批次，合计接待0人次），与预算持平，与2015年度决算持平。</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（六）机关运行经费支出情况的说明</w:t>
      </w:r>
    </w:p>
    <w:p>
      <w:pPr>
        <w:widowControl/>
        <w:spacing w:line="520" w:lineRule="exact"/>
        <w:ind w:firstLine="640" w:firstLineChars="200"/>
        <w:jc w:val="left"/>
        <w:rPr>
          <w:rFonts w:ascii="仿宋" w:hAnsi="仿宋" w:eastAsia="仿宋"/>
          <w:sz w:val="32"/>
          <w:szCs w:val="32"/>
        </w:rPr>
      </w:pPr>
      <w:r>
        <w:rPr>
          <w:rFonts w:hint="eastAsia" w:ascii="仿宋" w:hAnsi="仿宋" w:eastAsia="仿宋"/>
          <w:sz w:val="32"/>
          <w:szCs w:val="32"/>
        </w:rPr>
        <w:t>2016年度部门机关运行经费支出 16.88 万元，比2015年度</w:t>
      </w:r>
      <w:r>
        <w:rPr>
          <w:rFonts w:ascii="仿宋" w:hAnsi="仿宋" w:eastAsia="仿宋"/>
          <w:sz w:val="32"/>
          <w:szCs w:val="32"/>
        </w:rPr>
        <w:t>增加</w:t>
      </w:r>
      <w:r>
        <w:rPr>
          <w:rFonts w:hint="eastAsia" w:ascii="仿宋" w:hAnsi="仿宋" w:eastAsia="仿宋"/>
          <w:sz w:val="32"/>
          <w:szCs w:val="32"/>
        </w:rPr>
        <w:t>2.54万元，原因是工作量增大。</w:t>
      </w:r>
    </w:p>
    <w:p>
      <w:pPr>
        <w:widowControl/>
        <w:spacing w:line="520" w:lineRule="exact"/>
        <w:ind w:firstLine="643" w:firstLineChars="200"/>
        <w:jc w:val="left"/>
        <w:rPr>
          <w:rFonts w:hint="eastAsia" w:ascii="楷体" w:hAnsi="楷体" w:eastAsia="楷体"/>
          <w:b/>
          <w:sz w:val="32"/>
          <w:szCs w:val="32"/>
        </w:rPr>
      </w:pPr>
      <w:r>
        <w:rPr>
          <w:rFonts w:hint="eastAsia" w:ascii="楷体" w:hAnsi="楷体" w:eastAsia="楷体"/>
          <w:b/>
          <w:sz w:val="32"/>
          <w:szCs w:val="32"/>
        </w:rPr>
        <w:t>（七）绩效预算信息</w:t>
      </w:r>
    </w:p>
    <w:p>
      <w:pPr>
        <w:widowControl/>
        <w:spacing w:line="520" w:lineRule="exact"/>
        <w:ind w:firstLine="640" w:firstLineChars="200"/>
        <w:jc w:val="left"/>
        <w:rPr>
          <w:rFonts w:ascii="楷体" w:hAnsi="楷体" w:eastAsia="楷体"/>
          <w:b/>
          <w:sz w:val="32"/>
          <w:szCs w:val="32"/>
        </w:rPr>
      </w:pPr>
      <w:r>
        <w:rPr>
          <w:rFonts w:ascii="仿宋" w:hAnsi="仿宋" w:eastAsia="仿宋" w:cs="仿宋_GB2312"/>
          <w:kern w:val="0"/>
          <w:sz w:val="32"/>
          <w:szCs w:val="32"/>
        </w:rPr>
        <w:t>总体绩效目标：</w:t>
      </w:r>
    </w:p>
    <w:p>
      <w:pPr>
        <w:autoSpaceDE w:val="0"/>
        <w:autoSpaceDN w:val="0"/>
        <w:adjustRightInd w:val="0"/>
        <w:spacing w:line="52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1、强力抓好规划宣传，认真学习宣传贯彻《城乡规划法》，加大《霸州市城市总体规划》批后宣传力度，开展规划宣传进社区、进学校、进企业、进乡村、进家庭的“五进”活动，提升全民规划意识。</w:t>
      </w:r>
    </w:p>
    <w:p>
      <w:pPr>
        <w:autoSpaceDE w:val="0"/>
        <w:autoSpaceDN w:val="0"/>
        <w:adjustRightInd w:val="0"/>
        <w:spacing w:line="520" w:lineRule="exact"/>
        <w:ind w:left="319" w:leftChars="152"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倾力抓好规划编制，按照调整城市结构、优化城市布局、完善城市功能、塑造城市文化、提升城市品位的思路，循序渐进、遵循民意地抓好各项规划编制；并积极搞好规划前瞻性课题研究，增强规划的科学性。</w:t>
      </w:r>
    </w:p>
    <w:p>
      <w:pPr>
        <w:autoSpaceDE w:val="0"/>
        <w:autoSpaceDN w:val="0"/>
        <w:adjustRightInd w:val="0"/>
        <w:spacing w:line="520" w:lineRule="exact"/>
        <w:ind w:left="319" w:leftChars="152"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3、坚持以改革促发展，以创新求突破，开辟重点工业项目和民生工程项目审批“绿色通道”，实施规划精细化管理，积极为企业发展提供优质、高效服务。</w:t>
      </w:r>
    </w:p>
    <w:p>
      <w:pPr>
        <w:autoSpaceDE w:val="0"/>
        <w:autoSpaceDN w:val="0"/>
        <w:adjustRightInd w:val="0"/>
        <w:spacing w:line="520" w:lineRule="exact"/>
        <w:ind w:firstLine="960" w:firstLineChars="300"/>
        <w:jc w:val="left"/>
        <w:rPr>
          <w:rFonts w:ascii="仿宋" w:hAnsi="仿宋" w:eastAsia="仿宋" w:cs="仿宋_GB2312"/>
          <w:kern w:val="0"/>
          <w:sz w:val="32"/>
          <w:szCs w:val="32"/>
        </w:rPr>
      </w:pPr>
      <w:r>
        <w:rPr>
          <w:rFonts w:hint="eastAsia" w:ascii="仿宋" w:hAnsi="仿宋" w:eastAsia="仿宋" w:cs="仿宋_GB2312"/>
          <w:kern w:val="0"/>
          <w:sz w:val="32"/>
          <w:szCs w:val="32"/>
        </w:rPr>
        <w:t>4、为增强规划刚性权威，确保规划严格实施。</w:t>
      </w:r>
    </w:p>
    <w:p>
      <w:pPr>
        <w:autoSpaceDE w:val="0"/>
        <w:autoSpaceDN w:val="0"/>
        <w:adjustRightInd w:val="0"/>
        <w:spacing w:line="520" w:lineRule="exact"/>
        <w:ind w:firstLine="960" w:firstLineChars="300"/>
        <w:jc w:val="left"/>
        <w:rPr>
          <w:rFonts w:ascii="仿宋" w:hAnsi="仿宋" w:eastAsia="仿宋" w:cs="仿宋_GB2312"/>
          <w:kern w:val="0"/>
          <w:sz w:val="32"/>
          <w:szCs w:val="32"/>
        </w:rPr>
      </w:pPr>
      <w:r>
        <w:rPr>
          <w:rFonts w:hint="eastAsia" w:ascii="仿宋" w:hAnsi="仿宋" w:eastAsia="仿宋" w:cs="仿宋_GB2312"/>
          <w:kern w:val="0"/>
          <w:sz w:val="32"/>
          <w:szCs w:val="32"/>
        </w:rPr>
        <w:t>5、完善规划公开公示制，实现公开审批依据、公开审批流程等“六公开六公示”。</w:t>
      </w:r>
    </w:p>
    <w:p>
      <w:pPr>
        <w:autoSpaceDE w:val="0"/>
        <w:autoSpaceDN w:val="0"/>
        <w:adjustRightInd w:val="0"/>
        <w:spacing w:line="520" w:lineRule="exact"/>
        <w:ind w:left="319" w:leftChars="152"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6、努力打造规划亮点，提高规划工作水平；采取抓样板、树典型的方法，激励广大干部职工的工作积极性和责任感。</w:t>
      </w:r>
    </w:p>
    <w:p>
      <w:pPr>
        <w:autoSpaceDE w:val="0"/>
        <w:autoSpaceDN w:val="0"/>
        <w:adjustRightInd w:val="0"/>
        <w:spacing w:line="520" w:lineRule="exact"/>
        <w:ind w:left="319" w:leftChars="152"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7、通过内培外育，提高队伍素质，认真强化规划管理，确保规划工作步入规范高效运转的轨道，开创我市城乡规划事业新局面。</w:t>
      </w:r>
    </w:p>
    <w:p>
      <w:pPr>
        <w:autoSpaceDE w:val="0"/>
        <w:autoSpaceDN w:val="0"/>
        <w:adjustRightInd w:val="0"/>
        <w:spacing w:line="520" w:lineRule="exact"/>
        <w:ind w:firstLine="640" w:firstLineChars="200"/>
        <w:jc w:val="left"/>
        <w:rPr>
          <w:rFonts w:hint="eastAsia" w:ascii="仿宋" w:hAnsi="仿宋" w:eastAsia="仿宋"/>
          <w:sz w:val="32"/>
          <w:szCs w:val="32"/>
        </w:rPr>
      </w:pPr>
      <w:r>
        <w:rPr>
          <w:rFonts w:hint="eastAsia" w:ascii="仿宋" w:hAnsi="仿宋" w:eastAsia="仿宋"/>
          <w:sz w:val="32"/>
          <w:szCs w:val="32"/>
        </w:rPr>
        <w:t>绩效评价工作基本情况及主要成效：</w:t>
      </w:r>
    </w:p>
    <w:p>
      <w:pPr>
        <w:ind w:firstLine="640" w:firstLineChars="200"/>
        <w:rPr>
          <w:rFonts w:ascii="仿宋" w:hAnsi="仿宋" w:eastAsia="仿宋"/>
          <w:sz w:val="32"/>
          <w:szCs w:val="32"/>
        </w:rPr>
      </w:pPr>
      <w:r>
        <w:rPr>
          <w:rFonts w:hint="eastAsia" w:ascii="仿宋" w:hAnsi="仿宋" w:eastAsia="仿宋"/>
          <w:sz w:val="32"/>
          <w:szCs w:val="32"/>
        </w:rPr>
        <w:t>在市委、市政府的正确领导下，我们以完善基础设施为重点，围绕中心工作，积极进取，扎实工作，促进了城乡规划、城乡管理等各项工作的健康发展。2016年主要围绕对城乡规划、城乡规划制定、监督与实施等进行开展绩效评价工作，各项工作绩效评价成绩良好。成效：被评价项目总体绩效目标明确，决策依据充分，资金分配科学合理，项目管理较规范，项目完成良好，基本达到了预期效果。</w:t>
      </w:r>
    </w:p>
    <w:p>
      <w:pPr>
        <w:spacing w:line="520" w:lineRule="exact"/>
        <w:ind w:firstLine="643" w:firstLineChars="200"/>
        <w:rPr>
          <w:rFonts w:hint="eastAsia" w:ascii="楷体" w:hAnsi="楷体" w:eastAsia="楷体"/>
          <w:b/>
          <w:sz w:val="32"/>
          <w:szCs w:val="32"/>
        </w:rPr>
      </w:pPr>
      <w:r>
        <w:rPr>
          <w:rFonts w:hint="eastAsia" w:ascii="楷体" w:hAnsi="楷体" w:eastAsia="楷体"/>
          <w:b/>
          <w:sz w:val="32"/>
          <w:szCs w:val="32"/>
        </w:rPr>
        <w:t>（八）政府采购决算情况</w:t>
      </w:r>
    </w:p>
    <w:p>
      <w:pPr>
        <w:ind w:firstLine="640" w:firstLineChars="200"/>
        <w:rPr>
          <w:rFonts w:ascii="仿宋" w:hAnsi="仿宋" w:eastAsia="仿宋" w:cs="仿宋"/>
          <w:sz w:val="32"/>
        </w:rPr>
      </w:pPr>
      <w:r>
        <w:rPr>
          <w:rFonts w:hint="eastAsia" w:ascii="仿宋" w:hAnsi="仿宋" w:eastAsia="仿宋" w:cs="仿宋"/>
          <w:sz w:val="32"/>
        </w:rPr>
        <w:t>霸州市城乡规划局2016年政府采购预算总额0万元，实际采购金额为0万元。</w:t>
      </w:r>
    </w:p>
    <w:p>
      <w:pPr>
        <w:ind w:firstLine="640" w:firstLineChars="20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6</w:t>
      </w:r>
      <w:r>
        <w:rPr>
          <w:rFonts w:ascii="仿宋" w:hAnsi="仿宋" w:eastAsia="仿宋" w:cs="仿宋"/>
          <w:sz w:val="32"/>
        </w:rPr>
        <w:t>年</w:t>
      </w:r>
      <w:r>
        <w:rPr>
          <w:rFonts w:hint="eastAsia" w:ascii="仿宋" w:hAnsi="仿宋" w:eastAsia="仿宋" w:cs="仿宋"/>
          <w:sz w:val="32"/>
        </w:rPr>
        <w:t>度部门</w:t>
      </w:r>
      <w:r>
        <w:rPr>
          <w:rFonts w:ascii="仿宋" w:hAnsi="仿宋" w:eastAsia="仿宋" w:cs="仿宋"/>
          <w:sz w:val="32"/>
        </w:rPr>
        <w:t>政府采购</w:t>
      </w:r>
      <w:r>
        <w:rPr>
          <w:rFonts w:hint="eastAsia" w:ascii="仿宋" w:hAnsi="仿宋" w:eastAsia="仿宋" w:cs="仿宋"/>
          <w:sz w:val="32"/>
        </w:rPr>
        <w:t>支出0</w:t>
      </w:r>
      <w:r>
        <w:rPr>
          <w:rFonts w:ascii="仿宋" w:hAnsi="仿宋" w:eastAsia="仿宋" w:cs="仿宋"/>
          <w:sz w:val="32"/>
        </w:rPr>
        <w:t>万元</w:t>
      </w:r>
      <w:r>
        <w:rPr>
          <w:rFonts w:hint="eastAsia" w:ascii="仿宋" w:hAnsi="仿宋" w:eastAsia="仿宋" w:cs="仿宋"/>
          <w:sz w:val="32"/>
        </w:rPr>
        <w:t>，其中：政府采购货物支出0万元，政府采购工程支出0万元，政府采购服务支出0万元。</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（九）国有资产信息</w:t>
      </w:r>
    </w:p>
    <w:p>
      <w:pPr>
        <w:ind w:firstLine="640" w:firstLineChars="200"/>
        <w:rPr>
          <w:rFonts w:ascii="仿宋" w:hAnsi="仿宋" w:eastAsia="仿宋"/>
          <w:sz w:val="32"/>
        </w:rPr>
      </w:pPr>
      <w:r>
        <w:rPr>
          <w:rFonts w:hint="eastAsia" w:ascii="仿宋" w:hAnsi="仿宋" w:eastAsia="仿宋"/>
          <w:sz w:val="32"/>
        </w:rPr>
        <w:t>本部门（含所属单位）上年末固定资产金额为185.30万元，本年度固定资产减少23.63万元，本年末固定资产金额为161.67万元</w:t>
      </w:r>
      <w:r>
        <w:rPr>
          <w:rFonts w:hint="eastAsia" w:ascii="仿宋" w:hAnsi="仿宋" w:eastAsia="仿宋"/>
          <w:sz w:val="32"/>
          <w:lang w:eastAsia="zh-CN"/>
        </w:rPr>
        <w:t>，其中其他固定资产包括办公家具、电脑、打印机等137.67万元。</w:t>
      </w:r>
      <w:r>
        <w:rPr>
          <w:rFonts w:hint="eastAsia" w:ascii="仿宋" w:hAnsi="仿宋" w:eastAsia="仿宋"/>
          <w:sz w:val="32"/>
        </w:rPr>
        <w:t>详见下表。</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霸州市城乡规划局部门固定资产占用情况表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编制部门：901霸州市城乡规划局</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161.67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421.97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421.97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24.00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137.67</w:t>
            </w:r>
          </w:p>
        </w:tc>
      </w:tr>
    </w:tbl>
    <w:p>
      <w:pPr>
        <w:spacing w:line="520" w:lineRule="exact"/>
        <w:ind w:firstLine="643" w:firstLineChars="200"/>
        <w:rPr>
          <w:rFonts w:ascii="楷体" w:hAnsi="楷体" w:eastAsia="楷体"/>
          <w:b/>
          <w:sz w:val="32"/>
          <w:szCs w:val="32"/>
        </w:rPr>
      </w:pPr>
      <w:r>
        <w:rPr>
          <w:rFonts w:hint="eastAsia" w:ascii="楷体" w:hAnsi="楷体" w:eastAsia="楷体"/>
          <w:b/>
          <w:sz w:val="32"/>
          <w:szCs w:val="32"/>
        </w:rPr>
        <w:t>（十）其他需要说明的情况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 w:hAnsi="仿宋" w:eastAsia="仿宋" w:cs="仿宋_GB2312"/>
          <w:color w:val="333333"/>
          <w:kern w:val="0"/>
          <w:sz w:val="32"/>
          <w:szCs w:val="32"/>
          <w:shd w:val="clear" w:color="auto" w:fill="FFFFFF"/>
        </w:rPr>
      </w:pPr>
      <w:r>
        <w:rPr>
          <w:rFonts w:hint="eastAsia" w:ascii="仿宋" w:hAnsi="仿宋" w:eastAsia="仿宋"/>
          <w:sz w:val="32"/>
          <w:szCs w:val="32"/>
        </w:rPr>
        <w:t>无其他需要说明的情况</w:t>
      </w:r>
      <w:r>
        <w:rPr>
          <w:rFonts w:hint="eastAsia" w:ascii="仿宋" w:hAnsi="仿宋" w:eastAsia="仿宋"/>
          <w:sz w:val="32"/>
          <w:szCs w:val="32"/>
          <w:lang w:eastAsia="zh-CN"/>
        </w:rPr>
        <w:t>。</w:t>
      </w:r>
    </w:p>
    <w:p>
      <w:pPr>
        <w:autoSpaceDE w:val="0"/>
        <w:autoSpaceDN w:val="0"/>
        <w:adjustRightInd w:val="0"/>
        <w:spacing w:line="520" w:lineRule="exact"/>
        <w:ind w:firstLine="800" w:firstLineChars="250"/>
        <w:jc w:val="left"/>
        <w:rPr>
          <w:rFonts w:eastAsia="黑体"/>
          <w:sz w:val="32"/>
          <w:szCs w:val="32"/>
        </w:rPr>
      </w:pPr>
      <w:r>
        <w:rPr>
          <w:rFonts w:hint="eastAsia" w:eastAsia="黑体"/>
          <w:sz w:val="32"/>
          <w:szCs w:val="32"/>
        </w:rPr>
        <w:t>四、</w:t>
      </w:r>
      <w:r>
        <w:rPr>
          <w:rFonts w:eastAsia="黑体"/>
          <w:sz w:val="32"/>
          <w:szCs w:val="32"/>
        </w:rPr>
        <w:t>名词解释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（一）财政拨款收入：本年度从本级财政部门取得的财政拨款，包括一般公共预算财政拨款和政府性基金预算财政拨款。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（二）事业收入：指事业单</w:t>
      </w:r>
      <w:bookmarkStart w:id="0" w:name="_GoBack"/>
      <w:bookmarkEnd w:id="0"/>
      <w:r>
        <w:rPr>
          <w:rFonts w:hint="eastAsia" w:ascii="仿宋" w:hAnsi="仿宋" w:eastAsia="仿宋"/>
          <w:sz w:val="32"/>
          <w:szCs w:val="32"/>
        </w:rPr>
        <w:t>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（五）年初结转和结余：指以前年度尚未完成、结转到本年仍按原规定用途继续使用的资金，或项目已完成等产生的结余资金。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（六）结余分配：指事业单位按照事业单位会计制度的规定从非财政补助结余中分配的事业基金和职工福利基金等。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（七）年末结转和结余：指单位按有关规定结转到下年或以后年度继续使用的资金，或项目已完成等产生的结余资金。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（八）基本支出：填列单位为保障机构正常运转、完成日常工作任务而发生的各项支出。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（九）项目支出：填列单位为完成特定的行政工作任务或事业发展目标，在基本支出之外发生的各项支出。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（十三）其他交通费用：填列单位除公务用车运行维护费以外的其他交通费用。如飞机、船舶等的燃料费、维修费、过桥过路费、保险费、出租车费用、公务交通补贴等。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（十四）公务用车购置：填列单位公务用车车辆购置支出（含车辆购置税）。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（十五）其他交通工具购置：填列单位除公务用车外的其他各类交通工具（如船舶、飞机）购置支出（含车辆购置税）。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headerReference r:id="rId3" w:type="default"/>
      <w:footerReference r:id="rId4" w:type="default"/>
      <w:pgSz w:w="16838" w:h="11906" w:orient="landscape"/>
      <w:pgMar w:top="1588" w:right="2155"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7107"/>
    <w:rsid w:val="000167C8"/>
    <w:rsid w:val="000D645A"/>
    <w:rsid w:val="00274709"/>
    <w:rsid w:val="00317DF2"/>
    <w:rsid w:val="004F11C8"/>
    <w:rsid w:val="00574F21"/>
    <w:rsid w:val="00576DB6"/>
    <w:rsid w:val="00745D60"/>
    <w:rsid w:val="00787107"/>
    <w:rsid w:val="00960FAD"/>
    <w:rsid w:val="0097092E"/>
    <w:rsid w:val="00AD779C"/>
    <w:rsid w:val="00B42746"/>
    <w:rsid w:val="00D11669"/>
    <w:rsid w:val="00D154CF"/>
    <w:rsid w:val="00D41111"/>
    <w:rsid w:val="00D42812"/>
    <w:rsid w:val="00DE19D8"/>
    <w:rsid w:val="00E569AF"/>
    <w:rsid w:val="00ED3E3F"/>
    <w:rsid w:val="00ED7ADD"/>
    <w:rsid w:val="00F814DD"/>
    <w:rsid w:val="71F5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Calibri" w:hAnsi="Calibri"/>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4"/>
    <w:link w:val="3"/>
    <w:uiPriority w:val="0"/>
    <w:rPr>
      <w:rFonts w:ascii="Calibri" w:hAnsi="Calibri" w:eastAsia="宋体" w:cs="Times New Roman"/>
      <w:sz w:val="18"/>
      <w:szCs w:val="18"/>
    </w:rPr>
  </w:style>
  <w:style w:type="character" w:customStyle="1" w:styleId="7">
    <w:name w:val="页脚 Char"/>
    <w:basedOn w:val="4"/>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625</Words>
  <Characters>3565</Characters>
  <Lines>29</Lines>
  <Paragraphs>8</Paragraphs>
  <TotalTime>0</TotalTime>
  <ScaleCrop>false</ScaleCrop>
  <LinksUpToDate>false</LinksUpToDate>
  <CharactersWithSpaces>4182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2017-11-02T02:16:00Z</dcterms:created>
  <dc:creator>微软用户</dc:creator>
  <cp:lastModifiedBy>我要去幼儿园深造</cp:lastModifiedBy>
  <dcterms:modified xsi:type="dcterms:W3CDTF">2017-11-07T01:42:20Z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